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5CD2E" w14:textId="77777777" w:rsidR="00CC09D2" w:rsidRPr="00F316B1" w:rsidRDefault="00CC09D2" w:rsidP="00CC09D2">
      <w:pPr>
        <w:pStyle w:val="Heading6"/>
        <w:jc w:val="center"/>
        <w:rPr>
          <w:rFonts w:ascii="Calibri Light" w:hAnsi="Calibri Light" w:cs="Calibri Light"/>
          <w:sz w:val="28"/>
          <w:szCs w:val="28"/>
        </w:rPr>
      </w:pPr>
      <w:r w:rsidRPr="00F316B1">
        <w:rPr>
          <w:rFonts w:ascii="Calibri Light" w:hAnsi="Calibri Light" w:cs="Calibri Light"/>
          <w:sz w:val="28"/>
          <w:szCs w:val="28"/>
        </w:rPr>
        <w:t>NOTICE OF REQUEST FOR PROJECT APPLICATIONS</w:t>
      </w:r>
    </w:p>
    <w:p w14:paraId="0E5D134A" w14:textId="77777777" w:rsidR="00CC09D2" w:rsidRPr="00F316B1" w:rsidRDefault="00CC09D2" w:rsidP="00CC09D2">
      <w:pPr>
        <w:tabs>
          <w:tab w:val="right" w:pos="8640"/>
        </w:tabs>
        <w:jc w:val="center"/>
        <w:rPr>
          <w:rFonts w:ascii="Calibri Light" w:hAnsi="Calibri Light" w:cs="Calibri Light"/>
          <w:b/>
          <w:bCs/>
          <w:sz w:val="28"/>
          <w:szCs w:val="28"/>
        </w:rPr>
      </w:pPr>
      <w:r w:rsidRPr="00F316B1">
        <w:rPr>
          <w:rFonts w:ascii="Calibri Light" w:hAnsi="Calibri Light" w:cs="Calibri Light"/>
          <w:b/>
          <w:bCs/>
          <w:sz w:val="28"/>
          <w:szCs w:val="28"/>
        </w:rPr>
        <w:t>HUD 202</w:t>
      </w:r>
      <w:r>
        <w:rPr>
          <w:rFonts w:ascii="Calibri Light" w:hAnsi="Calibri Light" w:cs="Calibri Light"/>
          <w:b/>
          <w:bCs/>
          <w:sz w:val="28"/>
          <w:szCs w:val="28"/>
        </w:rPr>
        <w:t>6</w:t>
      </w:r>
      <w:r w:rsidRPr="00F316B1">
        <w:rPr>
          <w:rFonts w:ascii="Calibri Light" w:hAnsi="Calibri Light" w:cs="Calibri Light"/>
          <w:b/>
          <w:bCs/>
          <w:sz w:val="28"/>
          <w:szCs w:val="28"/>
        </w:rPr>
        <w:t xml:space="preserve"> CONTINUUM OF </w:t>
      </w:r>
      <w:smartTag w:uri="urn:schemas-microsoft-com:office:smarttags" w:element="stockticker">
        <w:r w:rsidRPr="00F316B1">
          <w:rPr>
            <w:rFonts w:ascii="Calibri Light" w:hAnsi="Calibri Light" w:cs="Calibri Light"/>
            <w:b/>
            <w:bCs/>
            <w:sz w:val="28"/>
            <w:szCs w:val="28"/>
          </w:rPr>
          <w:t>CARE</w:t>
        </w:r>
      </w:smartTag>
      <w:r w:rsidRPr="00F316B1">
        <w:rPr>
          <w:rFonts w:ascii="Calibri Light" w:hAnsi="Calibri Light" w:cs="Calibri Light"/>
          <w:b/>
          <w:bCs/>
          <w:sz w:val="28"/>
          <w:szCs w:val="28"/>
        </w:rPr>
        <w:t xml:space="preserve"> HOMELESS APPLICATION PROCESS</w:t>
      </w:r>
    </w:p>
    <w:p w14:paraId="23B9AC7E" w14:textId="77777777" w:rsidR="00CC09D2" w:rsidRPr="00F316B1" w:rsidRDefault="00CC09D2" w:rsidP="00CC09D2">
      <w:pPr>
        <w:tabs>
          <w:tab w:val="right" w:pos="8640"/>
        </w:tabs>
        <w:jc w:val="center"/>
        <w:rPr>
          <w:rFonts w:ascii="Calibri Light" w:hAnsi="Calibri Light" w:cs="Calibri Light"/>
          <w:b/>
          <w:bCs/>
          <w:sz w:val="28"/>
          <w:szCs w:val="28"/>
        </w:rPr>
      </w:pPr>
      <w:r w:rsidRPr="00F316B1">
        <w:rPr>
          <w:rFonts w:ascii="Calibri Light" w:hAnsi="Calibri Light" w:cs="Calibri Light"/>
          <w:b/>
          <w:bCs/>
          <w:sz w:val="28"/>
          <w:szCs w:val="28"/>
        </w:rPr>
        <w:t xml:space="preserve">KANE HOMELESS CONTINUUM   </w:t>
      </w:r>
      <w:r w:rsidRPr="001C7BF3">
        <w:rPr>
          <w:rFonts w:ascii="Calibri Light" w:hAnsi="Calibri Light" w:cs="Calibri Light"/>
          <w:b/>
          <w:bCs/>
          <w:sz w:val="28"/>
          <w:szCs w:val="28"/>
        </w:rPr>
        <w:t>5/01/202</w:t>
      </w:r>
      <w:r w:rsidR="001C7BF3">
        <w:rPr>
          <w:rFonts w:ascii="Calibri Light" w:hAnsi="Calibri Light" w:cs="Calibri Light"/>
          <w:b/>
          <w:bCs/>
          <w:sz w:val="28"/>
          <w:szCs w:val="28"/>
        </w:rPr>
        <w:t>6</w:t>
      </w:r>
      <w:r w:rsidRPr="00F316B1">
        <w:rPr>
          <w:rFonts w:ascii="Calibri Light" w:hAnsi="Calibri Light" w:cs="Calibri Light"/>
          <w:b/>
          <w:bCs/>
          <w:sz w:val="28"/>
          <w:szCs w:val="28"/>
        </w:rPr>
        <w:t xml:space="preserve"> </w:t>
      </w:r>
    </w:p>
    <w:p w14:paraId="251B1080" w14:textId="77777777" w:rsidR="00CC09D2" w:rsidRPr="00F316B1" w:rsidRDefault="00CC09D2" w:rsidP="00CC09D2">
      <w:pPr>
        <w:rPr>
          <w:rFonts w:ascii="Calibri Light" w:hAnsi="Calibri Light" w:cs="Calibri Light"/>
          <w:b/>
          <w:color w:val="000000"/>
        </w:rPr>
      </w:pPr>
    </w:p>
    <w:p w14:paraId="1A54D738" w14:textId="77777777" w:rsidR="00CC09D2" w:rsidRPr="00F316B1" w:rsidRDefault="00CC09D2" w:rsidP="00CC09D2">
      <w:pPr>
        <w:pStyle w:val="Header"/>
        <w:pBdr>
          <w:bottom w:val="single" w:sz="4" w:space="0" w:color="auto"/>
        </w:pBdr>
        <w:tabs>
          <w:tab w:val="clear" w:pos="8640"/>
          <w:tab w:val="right" w:pos="9000"/>
        </w:tabs>
        <w:jc w:val="both"/>
        <w:rPr>
          <w:rFonts w:ascii="Calibri Light" w:hAnsi="Calibri Light" w:cs="Calibri Light"/>
          <w:color w:val="FF0000"/>
        </w:rPr>
      </w:pPr>
      <w:bookmarkStart w:id="0" w:name="_Hlk502906140"/>
      <w:r w:rsidRPr="00F316B1">
        <w:rPr>
          <w:rFonts w:ascii="Calibri Light" w:hAnsi="Calibri Light" w:cs="Calibri Light"/>
          <w:b/>
        </w:rPr>
        <w:t>The Kane County Continuum Collaborative Applicant is starting the application and selection process for HUD’s 202</w:t>
      </w:r>
      <w:r>
        <w:rPr>
          <w:rFonts w:ascii="Calibri Light" w:hAnsi="Calibri Light" w:cs="Calibri Light"/>
          <w:b/>
        </w:rPr>
        <w:t>6</w:t>
      </w:r>
      <w:r w:rsidRPr="00F316B1">
        <w:rPr>
          <w:rFonts w:ascii="Calibri Light" w:hAnsi="Calibri Light" w:cs="Calibri Light"/>
          <w:b/>
        </w:rPr>
        <w:t xml:space="preserve"> Continuum of Care funding.</w:t>
      </w:r>
      <w:bookmarkEnd w:id="0"/>
      <w:r w:rsidRPr="00F316B1">
        <w:rPr>
          <w:rFonts w:ascii="Calibri Light" w:hAnsi="Calibri Light" w:cs="Calibri Light"/>
          <w:b/>
        </w:rPr>
        <w:t xml:space="preserve"> </w:t>
      </w:r>
      <w:r w:rsidRPr="00F316B1">
        <w:rPr>
          <w:rFonts w:ascii="Calibri Light" w:hAnsi="Calibri Light" w:cs="Calibri Light"/>
        </w:rPr>
        <w:t>This is an open invitation to apply for funds in the 202</w:t>
      </w:r>
      <w:r>
        <w:rPr>
          <w:rFonts w:ascii="Calibri Light" w:hAnsi="Calibri Light" w:cs="Calibri Light"/>
        </w:rPr>
        <w:t>6</w:t>
      </w:r>
      <w:r w:rsidRPr="00F316B1">
        <w:rPr>
          <w:rFonts w:ascii="Calibri Light" w:hAnsi="Calibri Light" w:cs="Calibri Light"/>
        </w:rPr>
        <w:t xml:space="preserve"> competition for both funded and non CoC funded organizations. Applicants may apply for renewal or new projects. Both current grantees and new agencies not previously funded may apply. This includes specialized victim service providers and other providers for projects serving only survivors of domestic violence. Eligible project applicants include nonprofit organizations, states, local governments, public housing agencies and instrumentalities of state and local governments. For profit entities are not eligible.</w:t>
      </w:r>
      <w:r w:rsidRPr="00F316B1">
        <w:rPr>
          <w:rFonts w:ascii="Calibri Light" w:hAnsi="Calibri Light" w:cs="Calibri Light"/>
          <w:b/>
        </w:rPr>
        <w:t xml:space="preserve"> </w:t>
      </w:r>
      <w:r w:rsidRPr="00F316B1">
        <w:rPr>
          <w:rFonts w:ascii="Calibri Light" w:hAnsi="Calibri Light" w:cs="Calibri Light"/>
        </w:rPr>
        <w:t>The only new projects that may be applied for are those described in this Notice.</w:t>
      </w:r>
      <w:r w:rsidRPr="00F316B1">
        <w:rPr>
          <w:rFonts w:ascii="Calibri Light" w:hAnsi="Calibri Light" w:cs="Calibri Light"/>
          <w:color w:val="FF0000"/>
        </w:rPr>
        <w:t xml:space="preserve"> </w:t>
      </w:r>
      <w:r w:rsidRPr="00F316B1">
        <w:rPr>
          <w:rFonts w:ascii="Calibri Light" w:hAnsi="Calibri Light" w:cs="Calibri Light"/>
        </w:rPr>
        <w:t>While the amount of 202</w:t>
      </w:r>
      <w:r>
        <w:rPr>
          <w:rFonts w:ascii="Calibri Light" w:hAnsi="Calibri Light" w:cs="Calibri Light"/>
        </w:rPr>
        <w:t>6</w:t>
      </w:r>
      <w:r w:rsidRPr="00F316B1">
        <w:rPr>
          <w:rFonts w:ascii="Calibri Light" w:hAnsi="Calibri Light" w:cs="Calibri Light"/>
        </w:rPr>
        <w:t xml:space="preserve"> HUD funds available has not been announced, the Kane Continuum annual renewal amount from 202</w:t>
      </w:r>
      <w:r>
        <w:rPr>
          <w:rFonts w:ascii="Calibri Light" w:hAnsi="Calibri Light" w:cs="Calibri Light"/>
        </w:rPr>
        <w:t>5</w:t>
      </w:r>
      <w:r w:rsidRPr="00F316B1">
        <w:rPr>
          <w:rFonts w:ascii="Calibri Light" w:hAnsi="Calibri Light" w:cs="Calibri Light"/>
        </w:rPr>
        <w:t xml:space="preserve"> is $</w:t>
      </w:r>
      <w:r>
        <w:rPr>
          <w:rFonts w:ascii="Calibri Light" w:hAnsi="Calibri Light" w:cs="Calibri Light"/>
        </w:rPr>
        <w:t>3</w:t>
      </w:r>
      <w:r w:rsidRPr="00F316B1">
        <w:rPr>
          <w:rFonts w:ascii="Calibri Light" w:hAnsi="Calibri Light" w:cs="Calibri Light"/>
        </w:rPr>
        <w:t>,</w:t>
      </w:r>
      <w:r>
        <w:rPr>
          <w:rFonts w:ascii="Calibri Light" w:hAnsi="Calibri Light" w:cs="Calibri Light"/>
        </w:rPr>
        <w:t>079</w:t>
      </w:r>
      <w:r w:rsidRPr="00F316B1">
        <w:rPr>
          <w:rFonts w:ascii="Calibri Light" w:hAnsi="Calibri Light" w:cs="Calibri Light"/>
        </w:rPr>
        <w:t>,</w:t>
      </w:r>
      <w:r>
        <w:rPr>
          <w:rFonts w:ascii="Calibri Light" w:hAnsi="Calibri Light" w:cs="Calibri Light"/>
        </w:rPr>
        <w:t>941</w:t>
      </w:r>
      <w:r w:rsidRPr="00F316B1">
        <w:rPr>
          <w:rFonts w:ascii="Calibri Light" w:hAnsi="Calibri Light" w:cs="Calibri Light"/>
        </w:rPr>
        <w:t>.</w:t>
      </w:r>
      <w:r w:rsidRPr="00CC09D2">
        <w:rPr>
          <w:rFonts w:ascii="Aptos Narrow" w:eastAsiaTheme="minorHAnsi" w:hAnsi="Aptos Narrow" w:cs="Aptos Narrow"/>
          <w:b/>
          <w:bCs/>
          <w:color w:val="000000"/>
          <w:sz w:val="22"/>
          <w:szCs w:val="22"/>
        </w:rPr>
        <w:t xml:space="preserve"> </w:t>
      </w:r>
    </w:p>
    <w:p w14:paraId="43D13538" w14:textId="77777777" w:rsidR="00CC09D2" w:rsidRPr="00F316B1" w:rsidRDefault="00CC09D2" w:rsidP="00CC09D2">
      <w:pPr>
        <w:pStyle w:val="Header"/>
        <w:pBdr>
          <w:bottom w:val="single" w:sz="4" w:space="0" w:color="auto"/>
        </w:pBdr>
        <w:tabs>
          <w:tab w:val="clear" w:pos="8640"/>
          <w:tab w:val="right" w:pos="9000"/>
        </w:tabs>
        <w:jc w:val="both"/>
        <w:rPr>
          <w:rFonts w:ascii="Calibri Light" w:hAnsi="Calibri Light" w:cs="Calibri Light"/>
          <w:color w:val="FF0000"/>
        </w:rPr>
      </w:pPr>
    </w:p>
    <w:p w14:paraId="4BF36FD2" w14:textId="77777777" w:rsidR="00CC09D2" w:rsidRPr="00F316B1" w:rsidRDefault="00CC09D2" w:rsidP="00CC09D2">
      <w:pPr>
        <w:pStyle w:val="Header"/>
        <w:pBdr>
          <w:bottom w:val="single" w:sz="4" w:space="0" w:color="auto"/>
        </w:pBdr>
        <w:tabs>
          <w:tab w:val="clear" w:pos="8640"/>
          <w:tab w:val="right" w:pos="9000"/>
        </w:tabs>
        <w:jc w:val="both"/>
        <w:rPr>
          <w:rFonts w:ascii="Calibri Light" w:hAnsi="Calibri Light" w:cs="Calibri Light"/>
        </w:rPr>
      </w:pPr>
      <w:r w:rsidRPr="00F316B1">
        <w:rPr>
          <w:rFonts w:ascii="Calibri Light" w:hAnsi="Calibri Light" w:cs="Calibri Light"/>
        </w:rPr>
        <w:t xml:space="preserve">The Continuum strongly encourages applicants who are interested in new projects to schedule consultations with CoC staff. </w:t>
      </w:r>
      <w:r w:rsidRPr="00D76CF1">
        <w:rPr>
          <w:rFonts w:ascii="Calibri Light" w:hAnsi="Calibri Light" w:cs="Calibri Light"/>
        </w:rPr>
        <w:t xml:space="preserve">CoC Staff will </w:t>
      </w:r>
      <w:r>
        <w:rPr>
          <w:rFonts w:ascii="Calibri Light" w:hAnsi="Calibri Light" w:cs="Calibri Light"/>
        </w:rPr>
        <w:t>meet individually with applicants</w:t>
      </w:r>
      <w:r w:rsidRPr="00D76CF1">
        <w:rPr>
          <w:rFonts w:ascii="Calibri Light" w:hAnsi="Calibri Light" w:cs="Calibri Light"/>
        </w:rPr>
        <w:t xml:space="preserve"> for new projects and DV bonus projects to be </w:t>
      </w:r>
      <w:r>
        <w:rPr>
          <w:rFonts w:ascii="Calibri Light" w:hAnsi="Calibri Light" w:cs="Calibri Light"/>
        </w:rPr>
        <w:t xml:space="preserve">announced after the 2026 </w:t>
      </w:r>
      <w:r w:rsidRPr="00D76CF1">
        <w:rPr>
          <w:rFonts w:ascii="Calibri Light" w:hAnsi="Calibri Light" w:cs="Calibri Light"/>
        </w:rPr>
        <w:t>NOFO is released.</w:t>
      </w:r>
      <w:r w:rsidRPr="00F316B1">
        <w:rPr>
          <w:rFonts w:ascii="Calibri Light" w:hAnsi="Calibri Light" w:cs="Calibri Light"/>
        </w:rPr>
        <w:t xml:space="preserve"> </w:t>
      </w:r>
    </w:p>
    <w:p w14:paraId="5515BA42" w14:textId="77777777" w:rsidR="00CC09D2" w:rsidRPr="00F316B1" w:rsidRDefault="00CC09D2" w:rsidP="00CC09D2">
      <w:pPr>
        <w:pStyle w:val="Header"/>
        <w:pBdr>
          <w:bottom w:val="single" w:sz="4" w:space="0" w:color="auto"/>
        </w:pBdr>
        <w:tabs>
          <w:tab w:val="clear" w:pos="8640"/>
          <w:tab w:val="right" w:pos="9000"/>
        </w:tabs>
        <w:jc w:val="both"/>
        <w:rPr>
          <w:rFonts w:ascii="Calibri Light" w:hAnsi="Calibri Light" w:cs="Calibri Light"/>
          <w:color w:val="FF0000"/>
        </w:rPr>
      </w:pPr>
    </w:p>
    <w:p w14:paraId="3D975031" w14:textId="77777777" w:rsidR="00CC09D2" w:rsidRPr="00F316B1" w:rsidRDefault="00CC09D2" w:rsidP="00CC09D2">
      <w:pPr>
        <w:pStyle w:val="Header"/>
        <w:pBdr>
          <w:bottom w:val="single" w:sz="4" w:space="9" w:color="auto"/>
        </w:pBdr>
        <w:tabs>
          <w:tab w:val="clear" w:pos="8640"/>
          <w:tab w:val="right" w:pos="9000"/>
        </w:tabs>
        <w:jc w:val="both"/>
        <w:rPr>
          <w:rFonts w:ascii="Calibri Light" w:hAnsi="Calibri Light" w:cs="Calibri Light"/>
        </w:rPr>
      </w:pPr>
    </w:p>
    <w:p w14:paraId="70EC35F3" w14:textId="77777777" w:rsidR="00CC09D2" w:rsidRPr="00F316B1" w:rsidRDefault="00CC09D2" w:rsidP="00CC09D2">
      <w:pPr>
        <w:pStyle w:val="Header"/>
        <w:pBdr>
          <w:bottom w:val="single" w:sz="4" w:space="9" w:color="auto"/>
        </w:pBdr>
        <w:tabs>
          <w:tab w:val="clear" w:pos="8640"/>
          <w:tab w:val="right" w:pos="9000"/>
        </w:tabs>
        <w:jc w:val="both"/>
        <w:rPr>
          <w:rFonts w:ascii="Calibri Light" w:eastAsiaTheme="minorHAnsi" w:hAnsi="Calibri Light" w:cs="Calibri Light"/>
        </w:rPr>
      </w:pPr>
      <w:r w:rsidRPr="00F316B1">
        <w:rPr>
          <w:rFonts w:ascii="Calibri Light" w:hAnsi="Calibri Light" w:cs="Calibri Light"/>
        </w:rPr>
        <w:t xml:space="preserve">The Kane CoC will review all </w:t>
      </w:r>
      <w:r>
        <w:rPr>
          <w:rFonts w:ascii="Calibri Light" w:hAnsi="Calibri Light" w:cs="Calibri Light"/>
        </w:rPr>
        <w:t xml:space="preserve">renewal </w:t>
      </w:r>
      <w:r w:rsidRPr="00F316B1">
        <w:rPr>
          <w:rFonts w:ascii="Calibri Light" w:hAnsi="Calibri Light" w:cs="Calibri Light"/>
        </w:rPr>
        <w:t xml:space="preserve">projects to determine the extent to which each project is necessary and addresses the HUD policy priorities. Strategic re-allocation of resources is encouraged to further HUD policy priorities. All projects are subject to re-allocation. Reallocation is a process whereby a CoC reallocates funds in whole or in part from a </w:t>
      </w:r>
      <w:proofErr w:type="gramStart"/>
      <w:r w:rsidRPr="00F316B1">
        <w:rPr>
          <w:rFonts w:ascii="Calibri Light" w:hAnsi="Calibri Light" w:cs="Calibri Light"/>
        </w:rPr>
        <w:t>renewal projects</w:t>
      </w:r>
      <w:proofErr w:type="gramEnd"/>
      <w:r w:rsidRPr="00F316B1">
        <w:rPr>
          <w:rFonts w:ascii="Calibri Light" w:hAnsi="Calibri Light" w:cs="Calibri Light"/>
        </w:rPr>
        <w:t xml:space="preserve"> to create one or more new projects. </w:t>
      </w:r>
      <w:r w:rsidRPr="00F316B1">
        <w:rPr>
          <w:rFonts w:ascii="Calibri Light" w:eastAsiaTheme="minorHAnsi" w:hAnsi="Calibri Light" w:cs="Calibri Light"/>
        </w:rPr>
        <w:t>All projects will be evaluated for reallocation both on performance and on expenditure of grant funds.</w:t>
      </w:r>
      <w:r>
        <w:rPr>
          <w:rFonts w:ascii="Calibri Light" w:eastAsiaTheme="minorHAnsi" w:hAnsi="Calibri Light" w:cs="Calibri Light"/>
        </w:rPr>
        <w:t xml:space="preserve"> Reallocation may also be voluntary by a grantee.   </w:t>
      </w:r>
    </w:p>
    <w:p w14:paraId="30DE966D" w14:textId="77777777" w:rsidR="00CC09D2" w:rsidRPr="001C7BF3" w:rsidRDefault="00CC09D2" w:rsidP="00CC09D2">
      <w:pPr>
        <w:pStyle w:val="Header"/>
        <w:pBdr>
          <w:bottom w:val="single" w:sz="4" w:space="0" w:color="auto"/>
        </w:pBdr>
        <w:tabs>
          <w:tab w:val="clear" w:pos="8640"/>
          <w:tab w:val="right" w:pos="9000"/>
        </w:tabs>
        <w:jc w:val="both"/>
        <w:rPr>
          <w:rFonts w:ascii="Calibri Light" w:hAnsi="Calibri Light" w:cs="Calibri Light"/>
        </w:rPr>
      </w:pPr>
      <w:r w:rsidRPr="001C7BF3">
        <w:rPr>
          <w:rFonts w:ascii="Calibri Light" w:hAnsi="Calibri Light" w:cs="Calibri Light"/>
        </w:rPr>
        <w:t xml:space="preserve">All projects must complete a CoC Project Application by </w:t>
      </w:r>
      <w:r w:rsidRPr="001C7BF3">
        <w:rPr>
          <w:rFonts w:ascii="Calibri Light" w:hAnsi="Calibri Light" w:cs="Calibri Light"/>
          <w:u w:val="single"/>
        </w:rPr>
        <w:t xml:space="preserve">May </w:t>
      </w:r>
      <w:r w:rsidR="001C7BF3" w:rsidRPr="001C7BF3">
        <w:rPr>
          <w:rFonts w:ascii="Calibri Light" w:hAnsi="Calibri Light" w:cs="Calibri Light"/>
          <w:u w:val="single"/>
        </w:rPr>
        <w:t>29</w:t>
      </w:r>
      <w:r w:rsidRPr="001C7BF3">
        <w:rPr>
          <w:rFonts w:ascii="Calibri Light" w:hAnsi="Calibri Light" w:cs="Calibri Light"/>
          <w:u w:val="single"/>
        </w:rPr>
        <w:t>, 202</w:t>
      </w:r>
      <w:r w:rsidR="001C7BF3" w:rsidRPr="001C7BF3">
        <w:rPr>
          <w:rFonts w:ascii="Calibri Light" w:hAnsi="Calibri Light" w:cs="Calibri Light"/>
          <w:u w:val="single"/>
        </w:rPr>
        <w:t>6</w:t>
      </w:r>
      <w:r w:rsidRPr="001C7BF3">
        <w:rPr>
          <w:rFonts w:ascii="Calibri Light" w:hAnsi="Calibri Light" w:cs="Calibri Light"/>
          <w:u w:val="single"/>
        </w:rPr>
        <w:t>.</w:t>
      </w:r>
      <w:r w:rsidRPr="001C7BF3">
        <w:rPr>
          <w:rFonts w:ascii="Calibri Light" w:hAnsi="Calibri Light" w:cs="Calibri Light"/>
        </w:rPr>
        <w:t xml:space="preserve">  There are separate applications for new and renewal projects. </w:t>
      </w:r>
      <w:r w:rsidR="002C7931" w:rsidRPr="001C7BF3">
        <w:rPr>
          <w:rFonts w:ascii="Calibri Light" w:hAnsi="Calibri Light" w:cs="Calibri Light"/>
        </w:rPr>
        <w:t xml:space="preserve">Applicants may apply for renewal or new projects. </w:t>
      </w:r>
      <w:r w:rsidR="002C7931" w:rsidRPr="001C7BF3">
        <w:rPr>
          <w:rFonts w:ascii="Calibri Light" w:hAnsi="Calibri Light" w:cs="Calibri Light"/>
          <w:u w:val="single"/>
        </w:rPr>
        <w:t xml:space="preserve">Renewal projects must apply for their current HUD award amount. </w:t>
      </w:r>
      <w:r w:rsidRPr="001C7BF3">
        <w:rPr>
          <w:rFonts w:ascii="Calibri Light" w:hAnsi="Calibri Light" w:cs="Calibri Light"/>
          <w:color w:val="000000"/>
        </w:rPr>
        <w:t>N</w:t>
      </w:r>
      <w:r w:rsidRPr="001C7BF3">
        <w:rPr>
          <w:rFonts w:ascii="Calibri Light" w:hAnsi="Calibri Light" w:cs="Calibri Light"/>
        </w:rPr>
        <w:t xml:space="preserve">ew projects may be created through reallocation funds, bonus funds, </w:t>
      </w:r>
      <w:r w:rsidRPr="001C7BF3">
        <w:rPr>
          <w:rFonts w:ascii="Calibri Light" w:hAnsi="Calibri Light" w:cs="Calibri Light"/>
          <w:u w:val="single"/>
        </w:rPr>
        <w:t xml:space="preserve">or any combination of reallocation and bonus funds. </w:t>
      </w:r>
      <w:r w:rsidR="002C7931" w:rsidRPr="001C7BF3">
        <w:rPr>
          <w:rFonts w:ascii="Calibri Light" w:hAnsi="Calibri Light" w:cs="Calibri Light"/>
          <w:b/>
        </w:rPr>
        <w:t xml:space="preserve">The only new projects that may be applied for are those described </w:t>
      </w:r>
      <w:r w:rsidR="001C7BF3">
        <w:rPr>
          <w:rFonts w:ascii="Calibri Light" w:hAnsi="Calibri Light" w:cs="Calibri Light"/>
          <w:b/>
        </w:rPr>
        <w:t>in this notice</w:t>
      </w:r>
      <w:r w:rsidR="002C7931" w:rsidRPr="001C7BF3">
        <w:rPr>
          <w:rFonts w:ascii="Calibri Light" w:hAnsi="Calibri Light" w:cs="Calibri Light"/>
          <w:b/>
        </w:rPr>
        <w:t>.</w:t>
      </w:r>
      <w:r w:rsidR="002C7931" w:rsidRPr="001C7BF3">
        <w:rPr>
          <w:rFonts w:ascii="Calibri Light" w:hAnsi="Calibri Light" w:cs="Calibri Light"/>
          <w:color w:val="FF0000"/>
        </w:rPr>
        <w:t xml:space="preserve"> </w:t>
      </w:r>
      <w:r w:rsidR="002C7931" w:rsidRPr="001C7BF3">
        <w:rPr>
          <w:rFonts w:ascii="Calibri Light" w:hAnsi="Calibri Light" w:cs="Calibri Light"/>
        </w:rPr>
        <w:t>Funding for new projects is not guaranteed at this time.</w:t>
      </w:r>
      <w:r w:rsidR="002C7931" w:rsidRPr="001C7BF3">
        <w:rPr>
          <w:rFonts w:ascii="Calibri Light" w:hAnsi="Calibri Light" w:cs="Calibri Light"/>
          <w:color w:val="FF0000"/>
        </w:rPr>
        <w:t xml:space="preserve"> </w:t>
      </w:r>
      <w:r w:rsidR="002C7931" w:rsidRPr="001C7BF3">
        <w:rPr>
          <w:rFonts w:ascii="Calibri Light" w:hAnsi="Calibri Light" w:cs="Calibri Light"/>
        </w:rPr>
        <w:t xml:space="preserve">Expansion of an existing renewal project constitutes a new project. Please note only those applicants that apply for a new project will be considered for any bonus or reallocation funds which may become available when HUD makes their 2026 funding announcement. </w:t>
      </w:r>
      <w:r w:rsidRPr="001C7BF3">
        <w:rPr>
          <w:rFonts w:ascii="Calibri Light" w:hAnsi="Calibri Light" w:cs="Calibri Light"/>
        </w:rPr>
        <w:t xml:space="preserve">The CoC will accept new project applications </w:t>
      </w:r>
      <w:r w:rsidR="001C7BF3" w:rsidRPr="001C7BF3">
        <w:rPr>
          <w:rFonts w:ascii="Calibri Light" w:hAnsi="Calibri Light" w:cs="Calibri Light"/>
        </w:rPr>
        <w:t>up to</w:t>
      </w:r>
      <w:r w:rsidRPr="001C7BF3">
        <w:rPr>
          <w:rFonts w:ascii="Calibri Light" w:hAnsi="Calibri Light" w:cs="Calibri Light"/>
          <w:u w:val="single"/>
        </w:rPr>
        <w:t xml:space="preserve"> $</w:t>
      </w:r>
      <w:r w:rsidR="001C7BF3" w:rsidRPr="001C7BF3">
        <w:rPr>
          <w:rFonts w:ascii="Calibri Light" w:hAnsi="Calibri Light" w:cs="Calibri Light"/>
          <w:u w:val="single"/>
        </w:rPr>
        <w:t>615</w:t>
      </w:r>
      <w:r w:rsidRPr="001C7BF3">
        <w:rPr>
          <w:rFonts w:ascii="Calibri Light" w:hAnsi="Calibri Light" w:cs="Calibri Light"/>
          <w:u w:val="single"/>
        </w:rPr>
        <w:t xml:space="preserve">,000 </w:t>
      </w:r>
      <w:r w:rsidRPr="001C7BF3">
        <w:rPr>
          <w:rFonts w:ascii="Calibri Light" w:hAnsi="Calibri Light" w:cs="Calibri Light"/>
        </w:rPr>
        <w:t xml:space="preserve">reserving the right to negotiate final budgets based on final HUD bonus amounts. In addition, separate DV bonus funds are anticipated to be available. Projects requesting DV bonus funds will have additional questions in addition to the New Project application form. The CoC will accept DV bonus applications </w:t>
      </w:r>
      <w:r w:rsidRPr="001C7BF3">
        <w:rPr>
          <w:rFonts w:ascii="Calibri Light" w:hAnsi="Calibri Light" w:cs="Calibri Light"/>
          <w:u w:val="single"/>
        </w:rPr>
        <w:t>up to $</w:t>
      </w:r>
      <w:r w:rsidR="002C7931" w:rsidRPr="001C7BF3">
        <w:rPr>
          <w:rFonts w:ascii="Calibri Light" w:hAnsi="Calibri Light" w:cs="Calibri Light"/>
          <w:u w:val="single"/>
        </w:rPr>
        <w:t>1</w:t>
      </w:r>
      <w:r w:rsidR="001C7BF3" w:rsidRPr="001C7BF3">
        <w:rPr>
          <w:rFonts w:ascii="Calibri Light" w:hAnsi="Calibri Light" w:cs="Calibri Light"/>
          <w:u w:val="single"/>
        </w:rPr>
        <w:t>4</w:t>
      </w:r>
      <w:r w:rsidRPr="001C7BF3">
        <w:rPr>
          <w:rFonts w:ascii="Calibri Light" w:hAnsi="Calibri Light" w:cs="Calibri Light"/>
          <w:u w:val="single"/>
        </w:rPr>
        <w:t>0,000</w:t>
      </w:r>
      <w:r w:rsidRPr="001C7BF3">
        <w:rPr>
          <w:rFonts w:ascii="Calibri Light" w:hAnsi="Calibri Light" w:cs="Calibri Light"/>
        </w:rPr>
        <w:t xml:space="preserve"> reserving the right to negotiate final budgets based on HUD amounts. </w:t>
      </w:r>
    </w:p>
    <w:p w14:paraId="663DA3D8" w14:textId="77777777" w:rsidR="00CC09D2" w:rsidRPr="00F316B1" w:rsidRDefault="00CC09D2" w:rsidP="00CC09D2">
      <w:pPr>
        <w:jc w:val="both"/>
        <w:rPr>
          <w:rFonts w:ascii="Calibri Light" w:hAnsi="Calibri Light" w:cs="Calibri Light"/>
        </w:rPr>
      </w:pPr>
      <w:r w:rsidRPr="00F316B1">
        <w:rPr>
          <w:rFonts w:ascii="Calibri Light" w:hAnsi="Calibri Light" w:cs="Calibri Light"/>
        </w:rPr>
        <w:t xml:space="preserve">All projects will be scored using the CoC Program NOFA Evaluation criteria and final scores will be presented for approval at the CoC Board meeting on </w:t>
      </w:r>
      <w:r w:rsidRPr="001C7BF3">
        <w:rPr>
          <w:rFonts w:ascii="Calibri Light" w:hAnsi="Calibri Light" w:cs="Calibri Light"/>
        </w:rPr>
        <w:t xml:space="preserve">June </w:t>
      </w:r>
      <w:r w:rsidR="001C7BF3" w:rsidRPr="001C7BF3">
        <w:rPr>
          <w:rFonts w:ascii="Calibri Light" w:hAnsi="Calibri Light" w:cs="Calibri Light"/>
        </w:rPr>
        <w:t>17</w:t>
      </w:r>
      <w:r w:rsidRPr="001C7BF3">
        <w:rPr>
          <w:rFonts w:ascii="Calibri Light" w:hAnsi="Calibri Light" w:cs="Calibri Light"/>
        </w:rPr>
        <w:t>, 202</w:t>
      </w:r>
      <w:r w:rsidR="001C7BF3" w:rsidRPr="001C7BF3">
        <w:rPr>
          <w:rFonts w:ascii="Calibri Light" w:hAnsi="Calibri Light" w:cs="Calibri Light"/>
        </w:rPr>
        <w:t>6</w:t>
      </w:r>
      <w:r w:rsidRPr="00F316B1">
        <w:rPr>
          <w:rFonts w:ascii="Calibri Light" w:hAnsi="Calibri Light" w:cs="Calibri Light"/>
        </w:rPr>
        <w:t>. Points will be assigned using information from the 202</w:t>
      </w:r>
      <w:r w:rsidR="002C7931">
        <w:rPr>
          <w:rFonts w:ascii="Calibri Light" w:hAnsi="Calibri Light" w:cs="Calibri Light"/>
        </w:rPr>
        <w:t>6</w:t>
      </w:r>
      <w:r w:rsidRPr="00F316B1">
        <w:rPr>
          <w:rFonts w:ascii="Calibri Light" w:hAnsi="Calibri Light" w:cs="Calibri Light"/>
        </w:rPr>
        <w:t xml:space="preserve"> project applications, HMIS data, project evaluations and APRs. DV bonus projects will have additional evalu</w:t>
      </w:r>
      <w:r>
        <w:rPr>
          <w:rFonts w:ascii="Calibri Light" w:hAnsi="Calibri Light" w:cs="Calibri Light"/>
        </w:rPr>
        <w:t>a</w:t>
      </w:r>
      <w:r w:rsidRPr="00F316B1">
        <w:rPr>
          <w:rFonts w:ascii="Calibri Light" w:hAnsi="Calibri Light" w:cs="Calibri Light"/>
        </w:rPr>
        <w:t>tion criteria. Emphasis will be placed on performance and alignment with HUD policy priorities. </w:t>
      </w:r>
      <w:r w:rsidRPr="001C7BF3">
        <w:rPr>
          <w:rFonts w:ascii="Calibri Light" w:hAnsi="Calibri Light" w:cs="Calibri Light"/>
        </w:rPr>
        <w:t>Project Applications</w:t>
      </w:r>
      <w:r>
        <w:rPr>
          <w:rFonts w:ascii="Calibri Light" w:hAnsi="Calibri Light" w:cs="Calibri Light"/>
        </w:rPr>
        <w:t xml:space="preserve"> and </w:t>
      </w:r>
      <w:r w:rsidRPr="00F316B1">
        <w:rPr>
          <w:rFonts w:ascii="Calibri Light" w:hAnsi="Calibri Light" w:cs="Calibri Light"/>
        </w:rPr>
        <w:t xml:space="preserve">Evaluation criteria is available on the website at </w:t>
      </w:r>
      <w:hyperlink r:id="rId7" w:history="1">
        <w:r w:rsidRPr="00F316B1">
          <w:rPr>
            <w:rStyle w:val="Hyperlink"/>
            <w:rFonts w:ascii="Calibri Light" w:hAnsi="Calibri Light" w:cs="Calibri Light"/>
          </w:rPr>
          <w:t>Pages   - Continuum of Care (countyofkane.org)</w:t>
        </w:r>
      </w:hyperlink>
      <w:r w:rsidRPr="00F316B1">
        <w:rPr>
          <w:rFonts w:ascii="Calibri Light" w:hAnsi="Calibri Light" w:cs="Calibri Light"/>
        </w:rPr>
        <w:t xml:space="preserve">  </w:t>
      </w:r>
    </w:p>
    <w:p w14:paraId="65C383E9" w14:textId="77777777" w:rsidR="00CC09D2" w:rsidRDefault="00CC09D2" w:rsidP="00CC09D2">
      <w:pPr>
        <w:jc w:val="both"/>
        <w:rPr>
          <w:rFonts w:ascii="Calibri Light" w:hAnsi="Calibri Light" w:cs="Calibri Light"/>
          <w:b/>
          <w:color w:val="000000"/>
          <w:u w:val="single"/>
        </w:rPr>
      </w:pPr>
      <w:r w:rsidRPr="00F316B1">
        <w:rPr>
          <w:rFonts w:ascii="Calibri Light" w:eastAsiaTheme="minorHAnsi" w:hAnsi="Calibri Light" w:cs="Calibri Light"/>
          <w:u w:val="single"/>
        </w:rPr>
        <w:t>After the FY202</w:t>
      </w:r>
      <w:r w:rsidR="002C7931">
        <w:rPr>
          <w:rFonts w:ascii="Calibri Light" w:eastAsiaTheme="minorHAnsi" w:hAnsi="Calibri Light" w:cs="Calibri Light"/>
          <w:u w:val="single"/>
        </w:rPr>
        <w:t>6</w:t>
      </w:r>
      <w:r w:rsidRPr="00F316B1">
        <w:rPr>
          <w:rFonts w:ascii="Calibri Light" w:eastAsiaTheme="minorHAnsi" w:hAnsi="Calibri Light" w:cs="Calibri Light"/>
          <w:u w:val="single"/>
        </w:rPr>
        <w:t xml:space="preserve"> HUD NOF</w:t>
      </w:r>
      <w:r>
        <w:rPr>
          <w:rFonts w:ascii="Calibri Light" w:eastAsiaTheme="minorHAnsi" w:hAnsi="Calibri Light" w:cs="Calibri Light"/>
          <w:u w:val="single"/>
        </w:rPr>
        <w:t>O</w:t>
      </w:r>
      <w:r w:rsidRPr="00F316B1">
        <w:rPr>
          <w:rFonts w:ascii="Calibri Light" w:eastAsiaTheme="minorHAnsi" w:hAnsi="Calibri Light" w:cs="Calibri Light"/>
          <w:u w:val="single"/>
        </w:rPr>
        <w:t xml:space="preserve"> is released, the CoC will competitively rank all projects in accordance with HUD guidance. </w:t>
      </w:r>
    </w:p>
    <w:p w14:paraId="18A877CF" w14:textId="77777777" w:rsidR="00CC09D2" w:rsidRDefault="00CC09D2" w:rsidP="00CC09D2">
      <w:pPr>
        <w:spacing w:after="200" w:line="276" w:lineRule="auto"/>
        <w:rPr>
          <w:rFonts w:ascii="Calibri Light" w:hAnsi="Calibri Light" w:cs="Calibri Light"/>
          <w:b/>
          <w:color w:val="000000"/>
          <w:u w:val="single"/>
        </w:rPr>
      </w:pPr>
      <w:r>
        <w:rPr>
          <w:rFonts w:ascii="Calibri Light" w:hAnsi="Calibri Light" w:cs="Calibri Light"/>
          <w:b/>
          <w:color w:val="000000"/>
          <w:u w:val="single"/>
        </w:rPr>
        <w:br w:type="page"/>
      </w:r>
    </w:p>
    <w:p w14:paraId="120904D6" w14:textId="77777777" w:rsidR="00CC09D2" w:rsidRPr="00F316B1" w:rsidRDefault="00CC09D2" w:rsidP="00CC09D2">
      <w:pPr>
        <w:jc w:val="both"/>
        <w:rPr>
          <w:rFonts w:ascii="Calibri Light" w:hAnsi="Calibri Light" w:cs="Calibri Light"/>
          <w:b/>
          <w:color w:val="000000"/>
          <w:u w:val="single"/>
        </w:rPr>
      </w:pPr>
    </w:p>
    <w:p w14:paraId="7F0B47E6" w14:textId="77777777" w:rsidR="00CC09D2" w:rsidRPr="00F316B1" w:rsidRDefault="00CC09D2" w:rsidP="00CC09D2">
      <w:pPr>
        <w:pStyle w:val="Header"/>
        <w:pBdr>
          <w:bottom w:val="single" w:sz="4" w:space="0" w:color="auto"/>
        </w:pBdr>
        <w:tabs>
          <w:tab w:val="clear" w:pos="8640"/>
          <w:tab w:val="right" w:pos="9000"/>
        </w:tabs>
        <w:jc w:val="both"/>
        <w:rPr>
          <w:rFonts w:ascii="Calibri Light" w:hAnsi="Calibri Light" w:cs="Calibri Light"/>
          <w:b/>
          <w:color w:val="000000"/>
          <w:u w:val="single"/>
        </w:rPr>
      </w:pPr>
      <w:r w:rsidRPr="00F316B1">
        <w:rPr>
          <w:rFonts w:ascii="Calibri Light" w:hAnsi="Calibri Light" w:cs="Calibri Light"/>
          <w:b/>
          <w:color w:val="000000"/>
          <w:u w:val="single"/>
        </w:rPr>
        <w:t>NEW BONUS PROJECTS</w:t>
      </w:r>
    </w:p>
    <w:p w14:paraId="6ED251AA" w14:textId="77777777" w:rsidR="00CC09D2" w:rsidRDefault="00CC09D2" w:rsidP="00CC09D2">
      <w:pPr>
        <w:pStyle w:val="Header"/>
        <w:pBdr>
          <w:bottom w:val="single" w:sz="4" w:space="0" w:color="auto"/>
        </w:pBdr>
        <w:tabs>
          <w:tab w:val="clear" w:pos="8640"/>
          <w:tab w:val="right" w:pos="9000"/>
        </w:tabs>
        <w:jc w:val="both"/>
        <w:rPr>
          <w:rFonts w:ascii="Calibri Light" w:hAnsi="Calibri Light" w:cs="Calibri Light"/>
          <w:u w:val="single"/>
        </w:rPr>
      </w:pPr>
      <w:r w:rsidRPr="00F316B1">
        <w:rPr>
          <w:rFonts w:ascii="Calibri Light" w:hAnsi="Calibri Light" w:cs="Calibri Light"/>
          <w:color w:val="000000"/>
        </w:rPr>
        <w:t>N</w:t>
      </w:r>
      <w:r w:rsidRPr="00F316B1">
        <w:rPr>
          <w:rFonts w:ascii="Calibri Light" w:hAnsi="Calibri Light" w:cs="Calibri Light"/>
        </w:rPr>
        <w:t xml:space="preserve">ew projects may be created through reallocation of current renewal funds, bonus funds, </w:t>
      </w:r>
      <w:r w:rsidRPr="00F316B1">
        <w:rPr>
          <w:rFonts w:ascii="Calibri Light" w:hAnsi="Calibri Light" w:cs="Calibri Light"/>
          <w:u w:val="single"/>
        </w:rPr>
        <w:t>or a combination of reallocation and bonus funds.</w:t>
      </w:r>
    </w:p>
    <w:p w14:paraId="1593E491" w14:textId="77777777" w:rsidR="002C7931" w:rsidRPr="002C7931" w:rsidRDefault="002C7931" w:rsidP="002C7931">
      <w:pPr>
        <w:rPr>
          <w:rFonts w:asciiTheme="minorHAnsi" w:hAnsiTheme="minorHAnsi" w:cstheme="minorHAnsi"/>
          <w:b/>
        </w:rPr>
      </w:pPr>
      <w:r w:rsidRPr="002C7931">
        <w:rPr>
          <w:rFonts w:asciiTheme="minorHAnsi" w:hAnsiTheme="minorHAnsi" w:cstheme="minorHAnsi"/>
          <w:b/>
        </w:rPr>
        <w:t xml:space="preserve">6 types of new projects are allowed: </w:t>
      </w:r>
    </w:p>
    <w:p w14:paraId="65B44140" w14:textId="77777777" w:rsidR="002C7931" w:rsidRPr="002C7931" w:rsidRDefault="002C7931" w:rsidP="002C7931">
      <w:pPr>
        <w:rPr>
          <w:rFonts w:asciiTheme="minorHAnsi" w:hAnsiTheme="minorHAnsi" w:cstheme="minorHAnsi"/>
          <w:b/>
        </w:rPr>
      </w:pPr>
    </w:p>
    <w:p w14:paraId="4F382564" w14:textId="77777777" w:rsidR="002C7931" w:rsidRPr="002C7931" w:rsidRDefault="002C7931" w:rsidP="002C7931">
      <w:pPr>
        <w:pStyle w:val="ListParagraph"/>
        <w:numPr>
          <w:ilvl w:val="0"/>
          <w:numId w:val="1"/>
        </w:numPr>
        <w:jc w:val="both"/>
        <w:rPr>
          <w:rFonts w:asciiTheme="minorHAnsi" w:hAnsiTheme="minorHAnsi" w:cstheme="minorHAnsi"/>
        </w:rPr>
      </w:pPr>
      <w:r w:rsidRPr="002C7931">
        <w:rPr>
          <w:rFonts w:asciiTheme="minorHAnsi" w:hAnsiTheme="minorHAnsi" w:cstheme="minorHAnsi"/>
        </w:rPr>
        <w:t>SSO   - Supportive Services Only (Dedicated)</w:t>
      </w:r>
      <w:r>
        <w:rPr>
          <w:rFonts w:asciiTheme="minorHAnsi" w:hAnsiTheme="minorHAnsi" w:cstheme="minorHAnsi"/>
        </w:rPr>
        <w:t xml:space="preserve"> </w:t>
      </w:r>
      <w:r w:rsidR="00644EA9">
        <w:rPr>
          <w:rFonts w:asciiTheme="minorHAnsi" w:hAnsiTheme="minorHAnsi" w:cstheme="minorHAnsi"/>
        </w:rPr>
        <w:t xml:space="preserve">either </w:t>
      </w:r>
      <w:r>
        <w:rPr>
          <w:rFonts w:asciiTheme="minorHAnsi" w:hAnsiTheme="minorHAnsi" w:cstheme="minorHAnsi"/>
        </w:rPr>
        <w:t>for street outreach or standalone services</w:t>
      </w:r>
    </w:p>
    <w:p w14:paraId="37FF51CF" w14:textId="77777777" w:rsidR="002C7931" w:rsidRPr="002C7931" w:rsidRDefault="002C7931" w:rsidP="002C7931">
      <w:pPr>
        <w:pStyle w:val="ListParagraph"/>
        <w:numPr>
          <w:ilvl w:val="0"/>
          <w:numId w:val="1"/>
        </w:numPr>
        <w:jc w:val="both"/>
        <w:rPr>
          <w:rFonts w:asciiTheme="minorHAnsi" w:hAnsiTheme="minorHAnsi" w:cstheme="minorHAnsi"/>
        </w:rPr>
      </w:pPr>
      <w:r w:rsidRPr="002C7931">
        <w:rPr>
          <w:rFonts w:asciiTheme="minorHAnsi" w:hAnsiTheme="minorHAnsi" w:cstheme="minorHAnsi"/>
        </w:rPr>
        <w:t>Transitional Housing</w:t>
      </w:r>
    </w:p>
    <w:p w14:paraId="58F23BED" w14:textId="77777777" w:rsidR="002C7931" w:rsidRPr="002C7931" w:rsidRDefault="002C7931" w:rsidP="002C7931">
      <w:pPr>
        <w:pStyle w:val="ListParagraph"/>
        <w:numPr>
          <w:ilvl w:val="0"/>
          <w:numId w:val="1"/>
        </w:numPr>
        <w:jc w:val="both"/>
        <w:rPr>
          <w:rFonts w:asciiTheme="minorHAnsi" w:hAnsiTheme="minorHAnsi" w:cstheme="minorHAnsi"/>
        </w:rPr>
      </w:pPr>
      <w:r w:rsidRPr="002C7931">
        <w:rPr>
          <w:rFonts w:asciiTheme="minorHAnsi" w:hAnsiTheme="minorHAnsi" w:cstheme="minorHAnsi"/>
        </w:rPr>
        <w:t xml:space="preserve">PH-PSH -Permanent supportive housing.  </w:t>
      </w:r>
    </w:p>
    <w:p w14:paraId="5FF1E91C" w14:textId="77777777" w:rsidR="002C7931" w:rsidRPr="002C7931" w:rsidRDefault="002C7931" w:rsidP="002C7931">
      <w:pPr>
        <w:pStyle w:val="ListParagraph"/>
        <w:numPr>
          <w:ilvl w:val="0"/>
          <w:numId w:val="1"/>
        </w:numPr>
        <w:jc w:val="both"/>
        <w:rPr>
          <w:rFonts w:asciiTheme="minorHAnsi" w:hAnsiTheme="minorHAnsi" w:cstheme="minorHAnsi"/>
        </w:rPr>
      </w:pPr>
      <w:r w:rsidRPr="002C7931">
        <w:rPr>
          <w:rFonts w:asciiTheme="minorHAnsi" w:hAnsiTheme="minorHAnsi" w:cstheme="minorHAnsi"/>
        </w:rPr>
        <w:t xml:space="preserve">PH –RRH - Rapid Rehousing projects.  </w:t>
      </w:r>
    </w:p>
    <w:p w14:paraId="5E88B43B" w14:textId="77777777" w:rsidR="002C7931" w:rsidRPr="002C7931" w:rsidRDefault="002C7931" w:rsidP="002C7931">
      <w:pPr>
        <w:pStyle w:val="ListParagraph"/>
        <w:numPr>
          <w:ilvl w:val="0"/>
          <w:numId w:val="1"/>
        </w:numPr>
        <w:jc w:val="both"/>
        <w:rPr>
          <w:rFonts w:asciiTheme="minorHAnsi" w:hAnsiTheme="minorHAnsi" w:cstheme="minorHAnsi"/>
        </w:rPr>
      </w:pPr>
      <w:r w:rsidRPr="002C7931">
        <w:rPr>
          <w:rFonts w:asciiTheme="minorHAnsi" w:hAnsiTheme="minorHAnsi" w:cstheme="minorHAnsi"/>
        </w:rPr>
        <w:t xml:space="preserve">Dedicated HMIS (only by the current HMIS Lead). </w:t>
      </w:r>
    </w:p>
    <w:p w14:paraId="3D772C33" w14:textId="77777777" w:rsidR="002C7931" w:rsidRPr="002C7931" w:rsidRDefault="002C7931" w:rsidP="002C7931">
      <w:pPr>
        <w:pStyle w:val="ListParagraph"/>
        <w:numPr>
          <w:ilvl w:val="0"/>
          <w:numId w:val="1"/>
        </w:numPr>
        <w:jc w:val="both"/>
        <w:rPr>
          <w:rFonts w:asciiTheme="minorHAnsi" w:hAnsiTheme="minorHAnsi" w:cstheme="minorHAnsi"/>
        </w:rPr>
      </w:pPr>
      <w:r w:rsidRPr="002C7931">
        <w:rPr>
          <w:rFonts w:asciiTheme="minorHAnsi" w:hAnsiTheme="minorHAnsi" w:cstheme="minorHAnsi"/>
        </w:rPr>
        <w:t xml:space="preserve">SSO-CE -Coordinated Entry to develop or operate a coordinated entry system. </w:t>
      </w:r>
    </w:p>
    <w:p w14:paraId="1FE78888" w14:textId="77777777" w:rsidR="002C7931" w:rsidRPr="002C7931" w:rsidRDefault="002C7931" w:rsidP="002C7931">
      <w:pPr>
        <w:rPr>
          <w:rFonts w:asciiTheme="minorHAnsi" w:hAnsiTheme="minorHAnsi" w:cstheme="minorHAnsi"/>
        </w:rPr>
      </w:pPr>
    </w:p>
    <w:p w14:paraId="106D8162" w14:textId="77777777" w:rsidR="002C7931" w:rsidRPr="002C7931" w:rsidRDefault="002C7931" w:rsidP="002C7931">
      <w:pPr>
        <w:jc w:val="both"/>
        <w:rPr>
          <w:rFonts w:asciiTheme="minorHAnsi" w:hAnsiTheme="minorHAnsi" w:cstheme="minorHAnsi"/>
          <w:b/>
        </w:rPr>
      </w:pPr>
      <w:r w:rsidRPr="002C7931">
        <w:rPr>
          <w:rFonts w:asciiTheme="minorHAnsi" w:hAnsiTheme="minorHAnsi" w:cstheme="minorHAnsi"/>
          <w:b/>
        </w:rPr>
        <w:t xml:space="preserve">Domestic violence dedicated  </w:t>
      </w:r>
    </w:p>
    <w:p w14:paraId="54093403" w14:textId="77777777" w:rsidR="002C7931" w:rsidRPr="002C7931" w:rsidRDefault="002C7931" w:rsidP="002C7931">
      <w:pPr>
        <w:jc w:val="both"/>
        <w:rPr>
          <w:rFonts w:asciiTheme="minorHAnsi" w:hAnsiTheme="minorHAnsi" w:cstheme="minorHAnsi"/>
        </w:rPr>
      </w:pPr>
      <w:r w:rsidRPr="002C7931">
        <w:rPr>
          <w:rFonts w:asciiTheme="minorHAnsi" w:hAnsiTheme="minorHAnsi" w:cstheme="minorHAnsi"/>
        </w:rPr>
        <w:t xml:space="preserve">CoCs may create any of the following project types if the amount is at least $25,000:  </w:t>
      </w:r>
    </w:p>
    <w:p w14:paraId="001D45C3" w14:textId="77777777" w:rsidR="002C7931" w:rsidRPr="002C7931" w:rsidRDefault="002C7931" w:rsidP="002C7931">
      <w:pPr>
        <w:pStyle w:val="ListParagraph"/>
        <w:numPr>
          <w:ilvl w:val="0"/>
          <w:numId w:val="2"/>
        </w:numPr>
        <w:rPr>
          <w:rFonts w:asciiTheme="minorHAnsi" w:hAnsiTheme="minorHAnsi" w:cstheme="minorHAnsi"/>
        </w:rPr>
      </w:pPr>
      <w:r w:rsidRPr="002C7931">
        <w:rPr>
          <w:rFonts w:asciiTheme="minorHAnsi" w:hAnsiTheme="minorHAnsi" w:cstheme="minorHAnsi"/>
        </w:rPr>
        <w:t>Rapid Rehousing (PH-RRH);</w:t>
      </w:r>
    </w:p>
    <w:p w14:paraId="7E0A082D" w14:textId="77777777" w:rsidR="002C7931" w:rsidRPr="002C7931" w:rsidRDefault="002C7931" w:rsidP="002C7931">
      <w:pPr>
        <w:pStyle w:val="ListParagraph"/>
        <w:numPr>
          <w:ilvl w:val="0"/>
          <w:numId w:val="2"/>
        </w:numPr>
        <w:rPr>
          <w:rFonts w:asciiTheme="minorHAnsi" w:hAnsiTheme="minorHAnsi" w:cstheme="minorHAnsi"/>
        </w:rPr>
      </w:pPr>
      <w:r w:rsidRPr="002C7931">
        <w:rPr>
          <w:rFonts w:asciiTheme="minorHAnsi" w:hAnsiTheme="minorHAnsi" w:cstheme="minorHAnsi"/>
        </w:rPr>
        <w:t xml:space="preserve">Transitional Housing (TH) </w:t>
      </w:r>
    </w:p>
    <w:p w14:paraId="61E8AB58" w14:textId="77777777" w:rsidR="002C7931" w:rsidRPr="002C7931" w:rsidRDefault="002C7931" w:rsidP="002C7931">
      <w:pPr>
        <w:pStyle w:val="Header"/>
        <w:numPr>
          <w:ilvl w:val="0"/>
          <w:numId w:val="2"/>
        </w:numPr>
        <w:tabs>
          <w:tab w:val="clear" w:pos="8640"/>
          <w:tab w:val="right" w:pos="9000"/>
        </w:tabs>
        <w:jc w:val="both"/>
        <w:rPr>
          <w:rFonts w:asciiTheme="minorHAnsi" w:hAnsiTheme="minorHAnsi" w:cstheme="minorHAnsi"/>
        </w:rPr>
      </w:pPr>
      <w:r w:rsidRPr="002C7931">
        <w:rPr>
          <w:rFonts w:asciiTheme="minorHAnsi" w:hAnsiTheme="minorHAnsi" w:cstheme="minorHAnsi"/>
        </w:rPr>
        <w:t>Supportive Services Only-Coordinated Entry * (SSO-CE) that targets victims of domestic violence. * Only one Coordinated Entry application is allowed</w:t>
      </w:r>
    </w:p>
    <w:p w14:paraId="36024714" w14:textId="77777777" w:rsidR="002C7931" w:rsidRPr="002C7931" w:rsidRDefault="002C7931" w:rsidP="002C7931">
      <w:pPr>
        <w:pStyle w:val="Header"/>
        <w:tabs>
          <w:tab w:val="clear" w:pos="8640"/>
          <w:tab w:val="right" w:pos="9000"/>
        </w:tabs>
        <w:ind w:left="720"/>
        <w:jc w:val="both"/>
        <w:rPr>
          <w:rFonts w:asciiTheme="minorHAnsi" w:hAnsiTheme="minorHAnsi" w:cstheme="minorHAnsi"/>
        </w:rPr>
      </w:pPr>
    </w:p>
    <w:p w14:paraId="106DAAA0" w14:textId="77777777" w:rsidR="002C7931" w:rsidRPr="002C7931" w:rsidRDefault="002C7931" w:rsidP="002C7931">
      <w:pPr>
        <w:pStyle w:val="Header"/>
        <w:tabs>
          <w:tab w:val="clear" w:pos="8640"/>
          <w:tab w:val="right" w:pos="9000"/>
        </w:tabs>
        <w:rPr>
          <w:rFonts w:asciiTheme="minorHAnsi" w:hAnsiTheme="minorHAnsi" w:cstheme="minorHAnsi"/>
        </w:rPr>
      </w:pPr>
      <w:r w:rsidRPr="002C7931">
        <w:rPr>
          <w:rFonts w:asciiTheme="minorHAnsi" w:hAnsiTheme="minorHAnsi" w:cstheme="minorHAnsi"/>
        </w:rPr>
        <w:t>NOTE: Expansion of any existing RRH renewal that is non-DV can use DV bonus funds if the expansion exclusively serves persons experiencing domestic violence. DV reallocation funds used for expansion require the entire project to be exclusively DV.</w:t>
      </w:r>
    </w:p>
    <w:p w14:paraId="5A37863A" w14:textId="77777777" w:rsidR="002C7931" w:rsidRPr="00F316B1" w:rsidRDefault="002C7931" w:rsidP="00CC09D2">
      <w:pPr>
        <w:pStyle w:val="Header"/>
        <w:pBdr>
          <w:bottom w:val="single" w:sz="4" w:space="0" w:color="auto"/>
        </w:pBdr>
        <w:tabs>
          <w:tab w:val="clear" w:pos="8640"/>
          <w:tab w:val="right" w:pos="9000"/>
        </w:tabs>
        <w:jc w:val="both"/>
        <w:rPr>
          <w:rFonts w:ascii="Calibri Light" w:hAnsi="Calibri Light" w:cs="Calibri Light"/>
          <w:u w:val="single"/>
        </w:rPr>
      </w:pPr>
    </w:p>
    <w:p w14:paraId="1F255190" w14:textId="77777777" w:rsidR="00CC09D2" w:rsidRDefault="00CC09D2" w:rsidP="00CC09D2">
      <w:pPr>
        <w:pStyle w:val="Header"/>
        <w:pBdr>
          <w:bottom w:val="single" w:sz="4" w:space="0" w:color="auto"/>
        </w:pBdr>
        <w:tabs>
          <w:tab w:val="clear" w:pos="8640"/>
          <w:tab w:val="right" w:pos="9000"/>
        </w:tabs>
        <w:jc w:val="both"/>
        <w:rPr>
          <w:rFonts w:ascii="Calibri Light" w:hAnsi="Calibri Light" w:cs="Calibri Light"/>
          <w:b/>
        </w:rPr>
      </w:pPr>
    </w:p>
    <w:p w14:paraId="75B6C9C4" w14:textId="77777777" w:rsidR="00CC09D2" w:rsidRPr="00922BD4" w:rsidRDefault="00CC09D2" w:rsidP="00CC09D2">
      <w:pPr>
        <w:pStyle w:val="Header"/>
        <w:pBdr>
          <w:bottom w:val="single" w:sz="4" w:space="9" w:color="auto"/>
        </w:pBdr>
        <w:tabs>
          <w:tab w:val="clear" w:pos="8640"/>
          <w:tab w:val="right" w:pos="9000"/>
        </w:tabs>
        <w:ind w:left="360"/>
        <w:jc w:val="both"/>
        <w:rPr>
          <w:rFonts w:asciiTheme="minorHAnsi" w:hAnsiTheme="minorHAnsi" w:cstheme="minorHAnsi"/>
        </w:rPr>
      </w:pPr>
      <w:r w:rsidRPr="00922BD4">
        <w:rPr>
          <w:rFonts w:asciiTheme="minorHAnsi" w:hAnsiTheme="minorHAnsi" w:cstheme="minorHAnsi"/>
        </w:rPr>
        <w:t xml:space="preserve">The eligible population is survivors of domestic violence who are defined as homeless at 24CFR 578.3 (4). All DV projects must be for a grant term of 1 year.  </w:t>
      </w:r>
    </w:p>
    <w:p w14:paraId="006756D9" w14:textId="77777777" w:rsidR="00CC09D2" w:rsidRPr="0065776F" w:rsidRDefault="00CC09D2" w:rsidP="00CC09D2">
      <w:pPr>
        <w:autoSpaceDE w:val="0"/>
        <w:autoSpaceDN w:val="0"/>
        <w:adjustRightInd w:val="0"/>
        <w:ind w:left="72"/>
        <w:rPr>
          <w:rStyle w:val="Emphasis"/>
          <w:i w:val="0"/>
          <w:iCs w:val="0"/>
          <w:u w:val="single"/>
        </w:rPr>
      </w:pPr>
      <w:r w:rsidRPr="0065776F">
        <w:rPr>
          <w:rFonts w:ascii="Calibri Light" w:hAnsi="Calibri Light" w:cs="Calibri Light"/>
        </w:rPr>
        <w:t>*</w:t>
      </w:r>
      <w:r w:rsidRPr="0065776F">
        <w:rPr>
          <w:rFonts w:ascii="Calibri Light" w:hAnsi="Calibri Light" w:cs="Calibri Light"/>
          <w:b/>
          <w:bCs/>
          <w:color w:val="000000"/>
        </w:rPr>
        <w:t xml:space="preserve"> REFERENCE FOR DOMESTIC VIOLENCE ELIGIBLITY –</w:t>
      </w:r>
      <w:r w:rsidRPr="0065776F">
        <w:rPr>
          <w:rStyle w:val="Emphasis"/>
        </w:rPr>
        <w:t xml:space="preserve"> </w:t>
      </w:r>
      <w:r w:rsidRPr="008B4DF1">
        <w:rPr>
          <w:rStyle w:val="Emphasis"/>
        </w:rPr>
        <w:t xml:space="preserve">There is a change in the homeless definition for Category 4 which allows for any person who is experiencing trauma or a lack of safety, not just fleeing to be eligible for services. </w:t>
      </w:r>
      <w:r>
        <w:rPr>
          <w:rStyle w:val="Emphasis"/>
        </w:rPr>
        <w:t>Effective October 1, 2022.</w:t>
      </w:r>
    </w:p>
    <w:p w14:paraId="177B7304" w14:textId="77777777" w:rsidR="00CC09D2" w:rsidRPr="00F316B1" w:rsidRDefault="00CC09D2" w:rsidP="00CC09D2">
      <w:pPr>
        <w:spacing w:after="75"/>
        <w:rPr>
          <w:rFonts w:ascii="Calibri Light" w:hAnsi="Calibri Light" w:cs="Calibri Light"/>
          <w:b/>
          <w:bCs/>
          <w:color w:val="000000"/>
        </w:rPr>
      </w:pPr>
    </w:p>
    <w:p w14:paraId="75F80C0F" w14:textId="77777777" w:rsidR="00CC09D2" w:rsidRPr="00F316B1" w:rsidRDefault="00CC09D2" w:rsidP="00CC09D2">
      <w:pPr>
        <w:spacing w:after="75"/>
        <w:rPr>
          <w:rFonts w:ascii="Calibri Light" w:hAnsi="Calibri Light" w:cs="Calibri Light"/>
          <w:b/>
          <w:bCs/>
          <w:color w:val="000000"/>
        </w:rPr>
      </w:pPr>
      <w:r w:rsidRPr="00F316B1">
        <w:rPr>
          <w:rFonts w:ascii="Calibri Light" w:hAnsi="Calibri Light" w:cs="Calibri Light"/>
          <w:b/>
          <w:bCs/>
          <w:color w:val="000000"/>
        </w:rPr>
        <w:t>Title 24 - Housing and Urban Development § 578.3</w:t>
      </w:r>
      <w:r w:rsidRPr="00F316B1">
        <w:rPr>
          <w:rFonts w:ascii="Calibri Light" w:hAnsi="Calibri Light" w:cs="Calibri Light"/>
          <w:color w:val="000000"/>
        </w:rPr>
        <w:t xml:space="preserve"> </w:t>
      </w:r>
      <w:r>
        <w:rPr>
          <w:rFonts w:ascii="Calibri Light" w:hAnsi="Calibri Light" w:cs="Calibri Light"/>
          <w:color w:val="000000"/>
        </w:rPr>
        <w:t>(103(b)</w:t>
      </w:r>
      <w:r w:rsidRPr="00F316B1">
        <w:rPr>
          <w:rFonts w:ascii="Calibri Light" w:hAnsi="Calibri Light" w:cs="Calibri Light"/>
          <w:b/>
          <w:bCs/>
          <w:color w:val="000000"/>
        </w:rPr>
        <w:t>Definitions.  Homeless</w:t>
      </w:r>
    </w:p>
    <w:p w14:paraId="47F39F14" w14:textId="77777777" w:rsidR="00CC09D2" w:rsidRPr="00F316B1" w:rsidRDefault="00CC09D2" w:rsidP="00CC09D2">
      <w:pPr>
        <w:spacing w:after="75"/>
        <w:rPr>
          <w:rFonts w:ascii="Calibri Light" w:hAnsi="Calibri Light" w:cs="Calibri Light"/>
        </w:rPr>
      </w:pPr>
      <w:r w:rsidRPr="00F316B1">
        <w:rPr>
          <w:rFonts w:ascii="Calibri Light" w:hAnsi="Calibri Light" w:cs="Calibri Light"/>
          <w:color w:val="000000"/>
        </w:rPr>
        <w:t>Category (4) Any individual or family who: (</w:t>
      </w:r>
      <w:proofErr w:type="spellStart"/>
      <w:r w:rsidRPr="00F316B1">
        <w:rPr>
          <w:rFonts w:ascii="Calibri Light" w:hAnsi="Calibri Light" w:cs="Calibri Light"/>
          <w:color w:val="000000"/>
        </w:rPr>
        <w:t>i</w:t>
      </w:r>
      <w:proofErr w:type="spellEnd"/>
      <w:r w:rsidRPr="00F316B1">
        <w:rPr>
          <w:rFonts w:ascii="Calibri Light" w:hAnsi="Calibri Light" w:cs="Calibri Light"/>
          <w:color w:val="000000"/>
        </w:rPr>
        <w:t xml:space="preserve">) Is </w:t>
      </w:r>
      <w:r>
        <w:rPr>
          <w:rFonts w:ascii="Calibri Light" w:hAnsi="Calibri Light" w:cs="Calibri Light"/>
          <w:color w:val="000000"/>
        </w:rPr>
        <w:t xml:space="preserve">experiencing trauma or a lack of safety related to, or </w:t>
      </w:r>
      <w:r w:rsidRPr="00F316B1">
        <w:rPr>
          <w:rFonts w:ascii="Calibri Light" w:hAnsi="Calibri Light" w:cs="Calibri Light"/>
          <w:color w:val="000000"/>
        </w:rPr>
        <w:t>fleeing, or is attempting to flee, domestic violence, dating violence, sexual assault, stalking, or other dangerous or life-threatening conditions relate</w:t>
      </w:r>
      <w:r>
        <w:rPr>
          <w:rFonts w:ascii="Calibri Light" w:hAnsi="Calibri Light" w:cs="Calibri Light"/>
          <w:color w:val="000000"/>
        </w:rPr>
        <w:t>d</w:t>
      </w:r>
      <w:r w:rsidRPr="00F316B1">
        <w:rPr>
          <w:rFonts w:ascii="Calibri Light" w:hAnsi="Calibri Light" w:cs="Calibri Light"/>
          <w:color w:val="000000"/>
        </w:rPr>
        <w:t xml:space="preserve"> to </w:t>
      </w:r>
      <w:r>
        <w:rPr>
          <w:rFonts w:ascii="Calibri Light" w:hAnsi="Calibri Light" w:cs="Calibri Light"/>
          <w:color w:val="000000"/>
        </w:rPr>
        <w:t xml:space="preserve">the </w:t>
      </w:r>
      <w:r w:rsidRPr="00F316B1">
        <w:rPr>
          <w:rFonts w:ascii="Calibri Light" w:hAnsi="Calibri Light" w:cs="Calibri Light"/>
          <w:color w:val="000000"/>
        </w:rPr>
        <w:t>violence against the individual or a family member</w:t>
      </w:r>
      <w:r>
        <w:rPr>
          <w:rFonts w:ascii="Calibri Light" w:hAnsi="Calibri Light" w:cs="Calibri Light"/>
          <w:color w:val="000000"/>
        </w:rPr>
        <w:t xml:space="preserve"> in the individual or family’s current housing situation, including where the health or safety of children are jeopardized</w:t>
      </w:r>
      <w:r w:rsidRPr="00F316B1">
        <w:rPr>
          <w:rFonts w:ascii="Calibri Light" w:hAnsi="Calibri Light" w:cs="Calibri Light"/>
          <w:color w:val="000000"/>
        </w:rPr>
        <w:t xml:space="preserve">(ii) Has no other </w:t>
      </w:r>
      <w:r>
        <w:rPr>
          <w:rFonts w:ascii="Calibri Light" w:hAnsi="Calibri Light" w:cs="Calibri Light"/>
          <w:color w:val="000000"/>
        </w:rPr>
        <w:t xml:space="preserve">safe </w:t>
      </w:r>
      <w:r w:rsidRPr="00F316B1">
        <w:rPr>
          <w:rFonts w:ascii="Calibri Light" w:hAnsi="Calibri Light" w:cs="Calibri Light"/>
          <w:color w:val="000000"/>
        </w:rPr>
        <w:t>residence; and (iii) Lacks the resources</w:t>
      </w:r>
      <w:r>
        <w:rPr>
          <w:rFonts w:ascii="Calibri Light" w:hAnsi="Calibri Light" w:cs="Calibri Light"/>
          <w:color w:val="000000"/>
        </w:rPr>
        <w:t xml:space="preserve"> </w:t>
      </w:r>
      <w:r w:rsidRPr="00F316B1">
        <w:rPr>
          <w:rFonts w:ascii="Calibri Light" w:hAnsi="Calibri Light" w:cs="Calibri Light"/>
          <w:color w:val="000000"/>
        </w:rPr>
        <w:t xml:space="preserve">to obtain other </w:t>
      </w:r>
      <w:r>
        <w:rPr>
          <w:rFonts w:ascii="Calibri Light" w:hAnsi="Calibri Light" w:cs="Calibri Light"/>
          <w:color w:val="000000"/>
        </w:rPr>
        <w:t xml:space="preserve">safe </w:t>
      </w:r>
      <w:r w:rsidRPr="00F316B1">
        <w:rPr>
          <w:rFonts w:ascii="Calibri Light" w:hAnsi="Calibri Light" w:cs="Calibri Light"/>
          <w:color w:val="000000"/>
        </w:rPr>
        <w:t xml:space="preserve">permanent housing. </w:t>
      </w:r>
    </w:p>
    <w:p w14:paraId="682AA971" w14:textId="77777777" w:rsidR="00CC09D2" w:rsidRPr="00F316B1" w:rsidRDefault="00CC09D2" w:rsidP="00CC09D2">
      <w:pPr>
        <w:rPr>
          <w:rFonts w:ascii="Calibri Light" w:hAnsi="Calibri Light" w:cs="Calibri Light"/>
        </w:rPr>
      </w:pPr>
    </w:p>
    <w:p w14:paraId="47B33276" w14:textId="77777777" w:rsidR="00CC09D2" w:rsidRPr="001F1E56" w:rsidRDefault="00CC09D2" w:rsidP="00CC09D2">
      <w:pPr>
        <w:rPr>
          <w:rFonts w:asciiTheme="minorHAnsi" w:hAnsiTheme="minorHAnsi" w:cs="Arial"/>
          <w:b/>
        </w:rPr>
      </w:pPr>
      <w:r w:rsidRPr="001F1E56">
        <w:rPr>
          <w:rFonts w:asciiTheme="minorHAnsi" w:hAnsiTheme="minorHAnsi" w:cs="Arial"/>
          <w:b/>
        </w:rPr>
        <w:t>Resources:</w:t>
      </w:r>
      <w:r>
        <w:rPr>
          <w:rFonts w:asciiTheme="minorHAnsi" w:hAnsiTheme="minorHAnsi" w:cs="Arial"/>
          <w:b/>
        </w:rPr>
        <w:t xml:space="preserve"> </w:t>
      </w:r>
    </w:p>
    <w:p w14:paraId="40A3AD9D" w14:textId="77777777" w:rsidR="00CC09D2" w:rsidRDefault="00CC09D2" w:rsidP="00CC09D2">
      <w:r w:rsidRPr="001F1E56">
        <w:rPr>
          <w:rFonts w:asciiTheme="minorHAnsi" w:hAnsiTheme="minorHAnsi"/>
          <w:b/>
        </w:rPr>
        <w:t>Continuum of Care Homelessness Assistance Program Highlights and Systems Information</w:t>
      </w:r>
      <w:r w:rsidRPr="001F1E56">
        <w:rPr>
          <w:rFonts w:asciiTheme="minorHAnsi" w:hAnsiTheme="minorHAnsi"/>
        </w:rPr>
        <w:t xml:space="preserve"> may be located at </w:t>
      </w:r>
      <w:hyperlink r:id="rId8" w:history="1">
        <w:r w:rsidRPr="001F1E56">
          <w:rPr>
            <w:rStyle w:val="Hyperlink"/>
            <w:rFonts w:asciiTheme="minorHAnsi" w:hAnsiTheme="minorHAnsi"/>
          </w:rPr>
          <w:t>https://www.hudexchange.info/programs/coc/</w:t>
        </w:r>
      </w:hyperlink>
    </w:p>
    <w:p w14:paraId="62482438" w14:textId="77777777" w:rsidR="00CC09D2" w:rsidRDefault="00CC09D2" w:rsidP="00CC09D2"/>
    <w:p w14:paraId="04A25D6D" w14:textId="77777777" w:rsidR="00CC09D2" w:rsidRDefault="00CC09D2" w:rsidP="00CC09D2"/>
    <w:p w14:paraId="63E6D358" w14:textId="77777777" w:rsidR="001B154D" w:rsidRDefault="001B154D"/>
    <w:sectPr w:rsidR="001B154D" w:rsidSect="00F316B1">
      <w:headerReference w:type="default" r:id="rId9"/>
      <w:foot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6D601" w14:textId="77777777" w:rsidR="005F4BBD" w:rsidRDefault="005F4BBD" w:rsidP="002C7931">
      <w:r>
        <w:separator/>
      </w:r>
    </w:p>
  </w:endnote>
  <w:endnote w:type="continuationSeparator" w:id="0">
    <w:p w14:paraId="573DC1A8" w14:textId="77777777" w:rsidR="005F4BBD" w:rsidRDefault="005F4BBD" w:rsidP="002C7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419545"/>
      <w:docPartObj>
        <w:docPartGallery w:val="Page Numbers (Bottom of Page)"/>
        <w:docPartUnique/>
      </w:docPartObj>
    </w:sdtPr>
    <w:sdtEndPr/>
    <w:sdtContent>
      <w:p w14:paraId="75865FB1" w14:textId="77777777" w:rsidR="00161513" w:rsidRDefault="00CD2D32">
        <w:pPr>
          <w:pStyle w:val="Footer"/>
          <w:jc w:val="right"/>
        </w:pPr>
        <w:r>
          <w:fldChar w:fldCharType="begin"/>
        </w:r>
        <w:r w:rsidR="00CA35C0">
          <w:instrText xml:space="preserve"> PAGE   \* MERGEFORMAT </w:instrText>
        </w:r>
        <w:r>
          <w:fldChar w:fldCharType="separate"/>
        </w:r>
        <w:r w:rsidR="001C7BF3">
          <w:rPr>
            <w:noProof/>
          </w:rPr>
          <w:t>2</w:t>
        </w:r>
        <w:r>
          <w:fldChar w:fldCharType="end"/>
        </w:r>
      </w:p>
    </w:sdtContent>
  </w:sdt>
  <w:p w14:paraId="3F11F3C6" w14:textId="77777777" w:rsidR="00161513" w:rsidRDefault="002C2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6D261" w14:textId="77777777" w:rsidR="005F4BBD" w:rsidRDefault="005F4BBD" w:rsidP="002C7931">
      <w:r>
        <w:separator/>
      </w:r>
    </w:p>
  </w:footnote>
  <w:footnote w:type="continuationSeparator" w:id="0">
    <w:p w14:paraId="5F88816B" w14:textId="77777777" w:rsidR="005F4BBD" w:rsidRDefault="005F4BBD" w:rsidP="002C7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AA3E8" w14:textId="77777777" w:rsidR="00F316B1" w:rsidRPr="00F316B1" w:rsidRDefault="00CA35C0">
    <w:pPr>
      <w:pStyle w:val="Header"/>
      <w:rPr>
        <w:sz w:val="20"/>
        <w:szCs w:val="20"/>
      </w:rPr>
    </w:pPr>
    <w:r>
      <w:rPr>
        <w:sz w:val="20"/>
        <w:szCs w:val="20"/>
      </w:rPr>
      <w:t>202</w:t>
    </w:r>
    <w:r w:rsidR="002C7931">
      <w:rPr>
        <w:sz w:val="20"/>
        <w:szCs w:val="20"/>
      </w:rPr>
      <w:t>6</w:t>
    </w:r>
    <w:r>
      <w:rPr>
        <w:sz w:val="20"/>
        <w:szCs w:val="20"/>
      </w:rPr>
      <w:t xml:space="preserve"> Kane CoC Request for Projects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025BB"/>
    <w:multiLevelType w:val="hybridMultilevel"/>
    <w:tmpl w:val="7E12E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F226F2"/>
    <w:multiLevelType w:val="hybridMultilevel"/>
    <w:tmpl w:val="91A4B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9D2"/>
    <w:rsid w:val="001B154D"/>
    <w:rsid w:val="001C7BF3"/>
    <w:rsid w:val="002C255D"/>
    <w:rsid w:val="002C7931"/>
    <w:rsid w:val="005F4BBD"/>
    <w:rsid w:val="00644EA9"/>
    <w:rsid w:val="00CA35C0"/>
    <w:rsid w:val="00CC09D2"/>
    <w:rsid w:val="00CD2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9994F35"/>
  <w15:docId w15:val="{70F4C119-E270-460D-BE47-0E4F510DA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9D2"/>
    <w:pPr>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qFormat/>
    <w:rsid w:val="00CC09D2"/>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CC09D2"/>
    <w:rPr>
      <w:rFonts w:ascii="Times New Roman" w:eastAsia="Times New Roman" w:hAnsi="Times New Roman" w:cs="Times New Roman"/>
      <w:b/>
      <w:bCs/>
    </w:rPr>
  </w:style>
  <w:style w:type="paragraph" w:styleId="Header">
    <w:name w:val="header"/>
    <w:basedOn w:val="Normal"/>
    <w:link w:val="HeaderChar"/>
    <w:rsid w:val="00CC09D2"/>
    <w:pPr>
      <w:tabs>
        <w:tab w:val="center" w:pos="4320"/>
        <w:tab w:val="right" w:pos="8640"/>
      </w:tabs>
    </w:pPr>
  </w:style>
  <w:style w:type="character" w:customStyle="1" w:styleId="HeaderChar">
    <w:name w:val="Header Char"/>
    <w:basedOn w:val="DefaultParagraphFont"/>
    <w:link w:val="Header"/>
    <w:rsid w:val="00CC09D2"/>
    <w:rPr>
      <w:rFonts w:ascii="Times New Roman" w:eastAsia="Times New Roman" w:hAnsi="Times New Roman" w:cs="Times New Roman"/>
      <w:sz w:val="24"/>
      <w:szCs w:val="24"/>
    </w:rPr>
  </w:style>
  <w:style w:type="paragraph" w:styleId="Footer">
    <w:name w:val="footer"/>
    <w:basedOn w:val="Normal"/>
    <w:link w:val="FooterChar"/>
    <w:unhideWhenUsed/>
    <w:rsid w:val="00CC09D2"/>
    <w:pPr>
      <w:tabs>
        <w:tab w:val="center" w:pos="4680"/>
        <w:tab w:val="right" w:pos="9360"/>
      </w:tabs>
    </w:pPr>
  </w:style>
  <w:style w:type="character" w:customStyle="1" w:styleId="FooterChar">
    <w:name w:val="Footer Char"/>
    <w:basedOn w:val="DefaultParagraphFont"/>
    <w:link w:val="Footer"/>
    <w:rsid w:val="00CC09D2"/>
    <w:rPr>
      <w:rFonts w:ascii="Times New Roman" w:eastAsia="Times New Roman" w:hAnsi="Times New Roman" w:cs="Times New Roman"/>
      <w:sz w:val="24"/>
      <w:szCs w:val="24"/>
    </w:rPr>
  </w:style>
  <w:style w:type="paragraph" w:styleId="ListParagraph">
    <w:name w:val="List Paragraph"/>
    <w:basedOn w:val="Normal"/>
    <w:uiPriority w:val="34"/>
    <w:qFormat/>
    <w:rsid w:val="00CC09D2"/>
    <w:pPr>
      <w:ind w:left="720"/>
      <w:contextualSpacing/>
    </w:pPr>
  </w:style>
  <w:style w:type="character" w:styleId="Hyperlink">
    <w:name w:val="Hyperlink"/>
    <w:basedOn w:val="DefaultParagraphFont"/>
    <w:unhideWhenUsed/>
    <w:rsid w:val="00CC09D2"/>
    <w:rPr>
      <w:color w:val="0000FF"/>
      <w:u w:val="single"/>
    </w:rPr>
  </w:style>
  <w:style w:type="character" w:styleId="Emphasis">
    <w:name w:val="Emphasis"/>
    <w:basedOn w:val="DefaultParagraphFont"/>
    <w:uiPriority w:val="20"/>
    <w:qFormat/>
    <w:rsid w:val="00CC09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udexchange.info/programs/coc/"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countyofkane.org/Pages/ocr/continuumCare.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7A42B20FB0A5419F2ECFBF1692E391" ma:contentTypeVersion="6" ma:contentTypeDescription="Create a new document." ma:contentTypeScope="" ma:versionID="7805ec381a9e5118acc26a4d979ab0de">
  <xsd:schema xmlns:xsd="http://www.w3.org/2001/XMLSchema" xmlns:xs="http://www.w3.org/2001/XMLSchema" xmlns:p="http://schemas.microsoft.com/office/2006/metadata/properties" xmlns:ns1="http://schemas.microsoft.com/sharepoint/v3" xmlns:ns2="3d1991c6-2b8f-49e6-9707-6d255dbcdb52" xmlns:ns3="fb5efbfa-eb80-4141-a14d-55d8a970f1ae" targetNamespace="http://schemas.microsoft.com/office/2006/metadata/properties" ma:root="true" ma:fieldsID="805d9f5d402983856aaea4c6dada99e9" ns1:_="" ns2:_="" ns3:_="">
    <xsd:import namespace="http://schemas.microsoft.com/sharepoint/v3"/>
    <xsd:import namespace="3d1991c6-2b8f-49e6-9707-6d255dbcdb52"/>
    <xsd:import namespace="fb5efbfa-eb80-4141-a14d-55d8a970f1ae"/>
    <xsd:element name="properties">
      <xsd:complexType>
        <xsd:sequence>
          <xsd:element name="documentManagement">
            <xsd:complexType>
              <xsd:all>
                <xsd:element ref="ns2:Category" minOccurs="0"/>
                <xsd:element ref="ns2:Subcategory" minOccurs="0"/>
                <xsd:element ref="ns2:Date"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1991c6-2b8f-49e6-9707-6d255dbcdb52" elementFormDefault="qualified">
    <xsd:import namespace="http://schemas.microsoft.com/office/2006/documentManagement/types"/>
    <xsd:import namespace="http://schemas.microsoft.com/office/infopath/2007/PartnerControls"/>
    <xsd:element name="Category" ma:index="2" nillable="true" ma:displayName="Category" ma:internalName="Category">
      <xsd:simpleType>
        <xsd:restriction base="dms:Text">
          <xsd:maxLength value="255"/>
        </xsd:restriction>
      </xsd:simpleType>
    </xsd:element>
    <xsd:element name="Subcategory" ma:index="3" nillable="true" ma:displayName="Subcategory" ma:internalName="Subcategory">
      <xsd:simpleType>
        <xsd:restriction base="dms:Text">
          <xsd:maxLength value="255"/>
        </xsd:restriction>
      </xsd:simpleType>
    </xsd:element>
    <xsd:element name="Date" ma:index="4"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b5efbfa-eb80-4141-a14d-55d8a970f1a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3d1991c6-2b8f-49e6-9707-6d255dbcdb52" xsi:nil="true"/>
    <Subcategory xmlns="3d1991c6-2b8f-49e6-9707-6d255dbcdb52" xsi:nil="true"/>
    <PublishingExpirationDate xmlns="http://schemas.microsoft.com/sharepoint/v3" xsi:nil="true"/>
    <PublishingStartDate xmlns="http://schemas.microsoft.com/sharepoint/v3" xsi:nil="true"/>
    <Category xmlns="3d1991c6-2b8f-49e6-9707-6d255dbcdb52" xsi:nil="true"/>
  </documentManagement>
</p:properties>
</file>

<file path=customXml/itemProps1.xml><?xml version="1.0" encoding="utf-8"?>
<ds:datastoreItem xmlns:ds="http://schemas.openxmlformats.org/officeDocument/2006/customXml" ds:itemID="{8F498E03-550D-44A7-A298-48CB94E42EE2}"/>
</file>

<file path=customXml/itemProps2.xml><?xml version="1.0" encoding="utf-8"?>
<ds:datastoreItem xmlns:ds="http://schemas.openxmlformats.org/officeDocument/2006/customXml" ds:itemID="{6207A51B-75A7-43A1-99CA-FF6FC1DCAA63}"/>
</file>

<file path=customXml/itemProps3.xml><?xml version="1.0" encoding="utf-8"?>
<ds:datastoreItem xmlns:ds="http://schemas.openxmlformats.org/officeDocument/2006/customXml" ds:itemID="{22D00C60-736D-47E1-BB1D-455E9C92AA5C}"/>
</file>

<file path=docProps/app.xml><?xml version="1.0" encoding="utf-8"?>
<Properties xmlns="http://schemas.openxmlformats.org/officeDocument/2006/extended-properties" xmlns:vt="http://schemas.openxmlformats.org/officeDocument/2006/docPropsVTypes">
  <Template>Normal.dotm</Template>
  <TotalTime>1</TotalTime>
  <Pages>2</Pages>
  <Words>928</Words>
  <Characters>5290</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Peg</dc:creator>
  <cp:lastModifiedBy>Pasillas, Samantha</cp:lastModifiedBy>
  <cp:revision>2</cp:revision>
  <dcterms:created xsi:type="dcterms:W3CDTF">2026-04-28T16:28:00Z</dcterms:created>
  <dcterms:modified xsi:type="dcterms:W3CDTF">2026-04-28T16:28:00Z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0x010100447A42B20FB0A5419F2ECFBF1692E391</vt:lpwstr>
  </property>
</Properties>
</file>